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harts/chart10.xml" ContentType="application/vnd.openxmlformats-officedocument.drawingml.chart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B98" w:rsidRDefault="008A25B5">
      <w:r w:rsidRPr="008A25B5">
        <w:rPr>
          <w:noProof/>
          <w:sz w:val="28"/>
          <w:szCs w:val="28"/>
          <w:lang w:eastAsia="ru-RU"/>
        </w:rPr>
        <w:drawing>
          <wp:inline distT="0" distB="0" distL="0" distR="0">
            <wp:extent cx="4401185" cy="1800225"/>
            <wp:effectExtent l="19050" t="0" r="18415" b="0"/>
            <wp:docPr id="11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261657" w:rsidRDefault="008A25B5">
      <w:r w:rsidRPr="00B31C84">
        <w:rPr>
          <w:noProof/>
          <w:sz w:val="28"/>
          <w:szCs w:val="28"/>
          <w:lang w:eastAsia="ru-RU"/>
        </w:rPr>
        <w:drawing>
          <wp:inline distT="0" distB="0" distL="0" distR="0">
            <wp:extent cx="4401185" cy="3990975"/>
            <wp:effectExtent l="19050" t="0" r="18415" b="0"/>
            <wp:docPr id="12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261657" w:rsidRDefault="00EA64EF">
      <w:r w:rsidRPr="00EA64EF">
        <w:rPr>
          <w:noProof/>
          <w:lang w:eastAsia="ru-RU"/>
        </w:rPr>
        <w:lastRenderedPageBreak/>
        <w:drawing>
          <wp:inline distT="0" distB="0" distL="0" distR="0">
            <wp:extent cx="4571365" cy="3238500"/>
            <wp:effectExtent l="19050" t="0" r="19685" b="0"/>
            <wp:docPr id="14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8A25B5" w:rsidRDefault="008A25B5" w:rsidP="00261657">
      <w:pPr>
        <w:jc w:val="center"/>
        <w:rPr>
          <w:i/>
          <w:sz w:val="28"/>
          <w:szCs w:val="28"/>
        </w:rPr>
      </w:pPr>
      <w:r w:rsidRPr="008A25B5">
        <w:rPr>
          <w:i/>
          <w:noProof/>
          <w:sz w:val="28"/>
          <w:szCs w:val="28"/>
          <w:lang w:eastAsia="ru-RU"/>
        </w:rPr>
        <w:drawing>
          <wp:inline distT="0" distB="0" distL="0" distR="0">
            <wp:extent cx="4552950" cy="1857375"/>
            <wp:effectExtent l="19050" t="0" r="19050" b="0"/>
            <wp:docPr id="9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261657" w:rsidRPr="00EA64EF" w:rsidRDefault="008A25B5" w:rsidP="00EA64EF">
      <w:pPr>
        <w:ind w:right="-314"/>
        <w:jc w:val="center"/>
        <w:rPr>
          <w:b/>
          <w:i/>
          <w:sz w:val="28"/>
          <w:szCs w:val="28"/>
        </w:rPr>
      </w:pPr>
      <w:r w:rsidRPr="00EA64EF">
        <w:rPr>
          <w:b/>
          <w:i/>
          <w:sz w:val="28"/>
          <w:szCs w:val="28"/>
        </w:rPr>
        <w:t>результаты мониторинговых исследований математического образования (</w:t>
      </w:r>
      <w:r w:rsidR="00261657" w:rsidRPr="00EA64EF">
        <w:rPr>
          <w:b/>
          <w:i/>
          <w:sz w:val="28"/>
          <w:szCs w:val="28"/>
        </w:rPr>
        <w:t>5-е классы</w:t>
      </w:r>
      <w:r w:rsidRPr="00EA64EF">
        <w:rPr>
          <w:b/>
          <w:i/>
          <w:sz w:val="28"/>
          <w:szCs w:val="28"/>
        </w:rPr>
        <w:t>,</w:t>
      </w:r>
      <w:r w:rsidR="00EA64EF">
        <w:rPr>
          <w:b/>
          <w:i/>
          <w:sz w:val="28"/>
          <w:szCs w:val="28"/>
        </w:rPr>
        <w:t xml:space="preserve"> </w:t>
      </w:r>
      <w:r w:rsidR="00614FE6" w:rsidRPr="00EA64EF">
        <w:rPr>
          <w:b/>
          <w:i/>
          <w:sz w:val="28"/>
          <w:szCs w:val="28"/>
        </w:rPr>
        <w:t xml:space="preserve">декабрь </w:t>
      </w:r>
      <w:r w:rsidR="00261657" w:rsidRPr="00EA64EF">
        <w:rPr>
          <w:b/>
          <w:i/>
          <w:sz w:val="28"/>
          <w:szCs w:val="28"/>
        </w:rPr>
        <w:t>201</w:t>
      </w:r>
      <w:r w:rsidRPr="00EA64EF">
        <w:rPr>
          <w:b/>
          <w:i/>
          <w:sz w:val="28"/>
          <w:szCs w:val="28"/>
        </w:rPr>
        <w:t>2</w:t>
      </w:r>
      <w:r w:rsidR="00261657" w:rsidRPr="00EA64EF">
        <w:rPr>
          <w:b/>
          <w:i/>
          <w:sz w:val="28"/>
          <w:szCs w:val="28"/>
        </w:rPr>
        <w:t xml:space="preserve"> </w:t>
      </w:r>
      <w:r w:rsidR="00614FE6" w:rsidRPr="00EA64EF">
        <w:rPr>
          <w:b/>
          <w:i/>
          <w:sz w:val="28"/>
          <w:szCs w:val="28"/>
        </w:rPr>
        <w:t>)</w:t>
      </w:r>
    </w:p>
    <w:p w:rsidR="00261657" w:rsidRDefault="00261657" w:rsidP="00261657">
      <w:pPr>
        <w:jc w:val="center"/>
        <w:rPr>
          <w:i/>
          <w:sz w:val="28"/>
          <w:szCs w:val="28"/>
        </w:rPr>
      </w:pPr>
    </w:p>
    <w:p w:rsidR="00EA64EF" w:rsidRDefault="00EA64EF" w:rsidP="00261657">
      <w:pPr>
        <w:jc w:val="center"/>
        <w:rPr>
          <w:i/>
          <w:sz w:val="28"/>
          <w:szCs w:val="28"/>
        </w:rPr>
      </w:pPr>
    </w:p>
    <w:p w:rsidR="00EA64EF" w:rsidRPr="00EA64EF" w:rsidRDefault="00EA64EF" w:rsidP="007C1A06">
      <w:pPr>
        <w:ind w:left="-426" w:right="-314"/>
        <w:jc w:val="center"/>
        <w:rPr>
          <w:b/>
          <w:i/>
          <w:sz w:val="28"/>
          <w:szCs w:val="28"/>
        </w:rPr>
      </w:pPr>
      <w:r w:rsidRPr="00EA64EF">
        <w:rPr>
          <w:b/>
          <w:i/>
          <w:sz w:val="28"/>
          <w:szCs w:val="28"/>
        </w:rPr>
        <w:lastRenderedPageBreak/>
        <w:t>результаты мониторинговых исследований математического образования (</w:t>
      </w:r>
      <w:r>
        <w:rPr>
          <w:b/>
          <w:i/>
          <w:sz w:val="28"/>
          <w:szCs w:val="28"/>
        </w:rPr>
        <w:t>9</w:t>
      </w:r>
      <w:r w:rsidRPr="00EA64EF">
        <w:rPr>
          <w:b/>
          <w:i/>
          <w:sz w:val="28"/>
          <w:szCs w:val="28"/>
        </w:rPr>
        <w:t>-е классы,</w:t>
      </w:r>
      <w:r>
        <w:rPr>
          <w:b/>
          <w:i/>
          <w:sz w:val="28"/>
          <w:szCs w:val="28"/>
        </w:rPr>
        <w:t xml:space="preserve"> </w:t>
      </w:r>
      <w:r w:rsidRPr="00EA64EF">
        <w:rPr>
          <w:b/>
          <w:i/>
          <w:sz w:val="28"/>
          <w:szCs w:val="28"/>
        </w:rPr>
        <w:t>декабрь 2012 )</w:t>
      </w:r>
    </w:p>
    <w:p w:rsidR="00261657" w:rsidRDefault="00261657" w:rsidP="00261657">
      <w:pPr>
        <w:jc w:val="center"/>
        <w:rPr>
          <w:i/>
          <w:sz w:val="28"/>
          <w:szCs w:val="28"/>
        </w:rPr>
      </w:pPr>
    </w:p>
    <w:p w:rsidR="00261657" w:rsidRDefault="008A7550" w:rsidP="00261657">
      <w:pPr>
        <w:jc w:val="center"/>
        <w:rPr>
          <w:i/>
          <w:sz w:val="28"/>
          <w:szCs w:val="28"/>
        </w:rPr>
      </w:pPr>
      <w:r w:rsidRPr="008A7550">
        <w:rPr>
          <w:noProof/>
          <w:lang w:eastAsia="ru-RU"/>
        </w:rPr>
        <w:drawing>
          <wp:inline distT="0" distB="0" distL="0" distR="0">
            <wp:extent cx="4572000" cy="2743200"/>
            <wp:effectExtent l="19050" t="0" r="19050" b="0"/>
            <wp:docPr id="21" name="Диаграмма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r w:rsidRPr="008A7550">
        <w:rPr>
          <w:noProof/>
          <w:sz w:val="28"/>
          <w:szCs w:val="28"/>
          <w:lang w:eastAsia="ru-RU"/>
        </w:rPr>
        <w:drawing>
          <wp:inline distT="0" distB="0" distL="0" distR="0">
            <wp:extent cx="4572000" cy="2743200"/>
            <wp:effectExtent l="19050" t="0" r="19050" b="0"/>
            <wp:docPr id="16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261657" w:rsidRDefault="00261657" w:rsidP="00261657">
      <w:pPr>
        <w:jc w:val="center"/>
        <w:rPr>
          <w:i/>
          <w:sz w:val="28"/>
          <w:szCs w:val="28"/>
        </w:rPr>
      </w:pPr>
    </w:p>
    <w:p w:rsidR="00261657" w:rsidRDefault="008A7550" w:rsidP="00261657">
      <w:pPr>
        <w:jc w:val="center"/>
        <w:rPr>
          <w:i/>
          <w:sz w:val="28"/>
          <w:szCs w:val="28"/>
        </w:rPr>
      </w:pPr>
      <w:r w:rsidRPr="008A7550">
        <w:rPr>
          <w:i/>
          <w:noProof/>
          <w:sz w:val="28"/>
          <w:szCs w:val="28"/>
          <w:lang w:eastAsia="ru-RU"/>
        </w:rPr>
        <w:drawing>
          <wp:inline distT="0" distB="0" distL="0" distR="0">
            <wp:extent cx="4572000" cy="2905125"/>
            <wp:effectExtent l="19050" t="0" r="19050" b="0"/>
            <wp:docPr id="20" name="Диаграмма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261657" w:rsidRDefault="008A7550" w:rsidP="00261657">
      <w:pPr>
        <w:jc w:val="center"/>
        <w:rPr>
          <w:i/>
          <w:sz w:val="28"/>
          <w:szCs w:val="28"/>
        </w:rPr>
      </w:pPr>
      <w:r w:rsidRPr="008A7550">
        <w:rPr>
          <w:i/>
          <w:noProof/>
          <w:sz w:val="28"/>
          <w:szCs w:val="28"/>
          <w:lang w:eastAsia="ru-RU"/>
        </w:rPr>
        <w:drawing>
          <wp:inline distT="0" distB="0" distL="0" distR="0">
            <wp:extent cx="4572000" cy="3067050"/>
            <wp:effectExtent l="19050" t="0" r="19050" b="0"/>
            <wp:docPr id="23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261657" w:rsidRDefault="008A7550" w:rsidP="008B030B">
      <w:pPr>
        <w:ind w:left="-284"/>
        <w:jc w:val="center"/>
        <w:rPr>
          <w:i/>
          <w:sz w:val="28"/>
          <w:szCs w:val="28"/>
        </w:rPr>
      </w:pPr>
      <w:r w:rsidRPr="00EA64EF">
        <w:rPr>
          <w:b/>
          <w:i/>
          <w:sz w:val="28"/>
          <w:szCs w:val="28"/>
        </w:rPr>
        <w:lastRenderedPageBreak/>
        <w:t>результаты мониторинговых исследований математического образования (</w:t>
      </w:r>
      <w:r w:rsidR="008B030B">
        <w:rPr>
          <w:b/>
          <w:i/>
          <w:sz w:val="28"/>
          <w:szCs w:val="28"/>
        </w:rPr>
        <w:t>11</w:t>
      </w:r>
      <w:r w:rsidRPr="00EA64EF">
        <w:rPr>
          <w:b/>
          <w:i/>
          <w:sz w:val="28"/>
          <w:szCs w:val="28"/>
        </w:rPr>
        <w:t>-е классы,</w:t>
      </w:r>
      <w:r>
        <w:rPr>
          <w:b/>
          <w:i/>
          <w:sz w:val="28"/>
          <w:szCs w:val="28"/>
        </w:rPr>
        <w:t xml:space="preserve"> </w:t>
      </w:r>
      <w:r w:rsidRPr="00EA64EF">
        <w:rPr>
          <w:b/>
          <w:i/>
          <w:sz w:val="28"/>
          <w:szCs w:val="28"/>
        </w:rPr>
        <w:t>декабрь 2012</w:t>
      </w:r>
      <w:r>
        <w:rPr>
          <w:b/>
          <w:i/>
          <w:sz w:val="28"/>
          <w:szCs w:val="28"/>
        </w:rPr>
        <w:t>)</w:t>
      </w:r>
    </w:p>
    <w:p w:rsidR="00261657" w:rsidRDefault="008B030B" w:rsidP="00261657">
      <w:pPr>
        <w:jc w:val="center"/>
        <w:rPr>
          <w:i/>
          <w:sz w:val="28"/>
          <w:szCs w:val="28"/>
        </w:rPr>
      </w:pPr>
      <w:r w:rsidRPr="008B030B">
        <w:rPr>
          <w:i/>
          <w:noProof/>
          <w:sz w:val="28"/>
          <w:szCs w:val="28"/>
          <w:lang w:eastAsia="ru-RU"/>
        </w:rPr>
        <w:drawing>
          <wp:inline distT="0" distB="0" distL="0" distR="0">
            <wp:extent cx="4572000" cy="2324100"/>
            <wp:effectExtent l="19050" t="0" r="19050" b="0"/>
            <wp:docPr id="26" name="Диаграмма 2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261657" w:rsidRDefault="008B030B" w:rsidP="00261657">
      <w:pPr>
        <w:jc w:val="center"/>
        <w:rPr>
          <w:i/>
          <w:sz w:val="28"/>
          <w:szCs w:val="28"/>
        </w:rPr>
      </w:pPr>
      <w:r w:rsidRPr="008B030B">
        <w:rPr>
          <w:i/>
          <w:noProof/>
          <w:sz w:val="28"/>
          <w:szCs w:val="28"/>
          <w:lang w:eastAsia="ru-RU"/>
        </w:rPr>
        <w:drawing>
          <wp:inline distT="0" distB="0" distL="0" distR="0">
            <wp:extent cx="4572000" cy="2743200"/>
            <wp:effectExtent l="19050" t="0" r="19050" b="0"/>
            <wp:docPr id="24" name="Диаграмма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261657" w:rsidRDefault="00261657" w:rsidP="00261657">
      <w:pPr>
        <w:jc w:val="center"/>
        <w:rPr>
          <w:i/>
          <w:sz w:val="28"/>
          <w:szCs w:val="28"/>
        </w:rPr>
      </w:pPr>
    </w:p>
    <w:p w:rsidR="00261657" w:rsidRDefault="00261657" w:rsidP="00261657">
      <w:pPr>
        <w:jc w:val="center"/>
        <w:rPr>
          <w:i/>
          <w:sz w:val="28"/>
          <w:szCs w:val="28"/>
        </w:rPr>
      </w:pPr>
    </w:p>
    <w:p w:rsidR="00261657" w:rsidRDefault="00261657" w:rsidP="00261657">
      <w:pPr>
        <w:jc w:val="center"/>
        <w:rPr>
          <w:i/>
          <w:sz w:val="28"/>
          <w:szCs w:val="28"/>
        </w:rPr>
      </w:pPr>
    </w:p>
    <w:p w:rsidR="00261657" w:rsidRPr="00261657" w:rsidRDefault="00B17A0D" w:rsidP="00261657">
      <w:pPr>
        <w:jc w:val="center"/>
        <w:rPr>
          <w:i/>
          <w:sz w:val="28"/>
          <w:szCs w:val="28"/>
        </w:rPr>
      </w:pPr>
      <w:r w:rsidRPr="00B17A0D">
        <w:rPr>
          <w:i/>
          <w:noProof/>
          <w:sz w:val="28"/>
          <w:szCs w:val="28"/>
          <w:lang w:eastAsia="ru-RU"/>
        </w:rPr>
        <w:drawing>
          <wp:inline distT="0" distB="0" distL="0" distR="0">
            <wp:extent cx="4572000" cy="2743200"/>
            <wp:effectExtent l="19050" t="0" r="1905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  <w:r w:rsidR="008B030B" w:rsidRPr="008B030B">
        <w:rPr>
          <w:i/>
          <w:noProof/>
          <w:sz w:val="28"/>
          <w:szCs w:val="28"/>
          <w:lang w:eastAsia="ru-RU"/>
        </w:rPr>
        <w:drawing>
          <wp:inline distT="0" distB="0" distL="0" distR="0">
            <wp:extent cx="4572000" cy="2790825"/>
            <wp:effectExtent l="19050" t="0" r="19050" b="0"/>
            <wp:docPr id="27" name="Диаграмма 2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sectPr w:rsidR="00261657" w:rsidRPr="00261657" w:rsidSect="008A7550">
      <w:pgSz w:w="16838" w:h="11906" w:orient="landscape"/>
      <w:pgMar w:top="709" w:right="1134" w:bottom="426" w:left="1134" w:header="708" w:footer="708" w:gutter="0"/>
      <w:cols w:num="2" w:space="11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0E0F" w:rsidRDefault="002C0E0F" w:rsidP="00261657">
      <w:pPr>
        <w:spacing w:after="0" w:line="240" w:lineRule="auto"/>
      </w:pPr>
      <w:r>
        <w:separator/>
      </w:r>
    </w:p>
  </w:endnote>
  <w:endnote w:type="continuationSeparator" w:id="0">
    <w:p w:rsidR="002C0E0F" w:rsidRDefault="002C0E0F" w:rsidP="002616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0E0F" w:rsidRDefault="002C0E0F" w:rsidP="00261657">
      <w:pPr>
        <w:spacing w:after="0" w:line="240" w:lineRule="auto"/>
      </w:pPr>
      <w:r>
        <w:separator/>
      </w:r>
    </w:p>
  </w:footnote>
  <w:footnote w:type="continuationSeparator" w:id="0">
    <w:p w:rsidR="002C0E0F" w:rsidRDefault="002C0E0F" w:rsidP="002616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1657"/>
    <w:rsid w:val="001137A5"/>
    <w:rsid w:val="0019262B"/>
    <w:rsid w:val="00261657"/>
    <w:rsid w:val="002C0E0F"/>
    <w:rsid w:val="00303B98"/>
    <w:rsid w:val="005D093D"/>
    <w:rsid w:val="00614FE6"/>
    <w:rsid w:val="0069366B"/>
    <w:rsid w:val="007C1A06"/>
    <w:rsid w:val="0089490F"/>
    <w:rsid w:val="008A25B5"/>
    <w:rsid w:val="008A7550"/>
    <w:rsid w:val="008B030B"/>
    <w:rsid w:val="00A816DA"/>
    <w:rsid w:val="00B17A0D"/>
    <w:rsid w:val="00B31C84"/>
    <w:rsid w:val="00B562E3"/>
    <w:rsid w:val="00B6011B"/>
    <w:rsid w:val="00DB2089"/>
    <w:rsid w:val="00EA64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B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16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165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2616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61657"/>
  </w:style>
  <w:style w:type="paragraph" w:styleId="a7">
    <w:name w:val="footer"/>
    <w:basedOn w:val="a"/>
    <w:link w:val="a8"/>
    <w:uiPriority w:val="99"/>
    <w:semiHidden/>
    <w:unhideWhenUsed/>
    <w:rsid w:val="002616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616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13" Type="http://schemas.openxmlformats.org/officeDocument/2006/relationships/chart" Target="charts/chart8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chart" Target="charts/chart2.xml"/><Relationship Id="rId12" Type="http://schemas.openxmlformats.org/officeDocument/2006/relationships/chart" Target="charts/chart7.xml"/><Relationship Id="rId17" Type="http://schemas.openxmlformats.org/officeDocument/2006/relationships/chart" Target="charts/chart12.xml"/><Relationship Id="rId2" Type="http://schemas.openxmlformats.org/officeDocument/2006/relationships/settings" Target="settings.xml"/><Relationship Id="rId16" Type="http://schemas.openxmlformats.org/officeDocument/2006/relationships/chart" Target="charts/chart11.xml"/><Relationship Id="rId1" Type="http://schemas.openxmlformats.org/officeDocument/2006/relationships/styles" Target="styles.xml"/><Relationship Id="rId6" Type="http://schemas.openxmlformats.org/officeDocument/2006/relationships/chart" Target="charts/chart1.xml"/><Relationship Id="rId11" Type="http://schemas.openxmlformats.org/officeDocument/2006/relationships/chart" Target="charts/chart6.xml"/><Relationship Id="rId5" Type="http://schemas.openxmlformats.org/officeDocument/2006/relationships/endnotes" Target="endnotes.xml"/><Relationship Id="rId15" Type="http://schemas.openxmlformats.org/officeDocument/2006/relationships/chart" Target="charts/chart10.xml"/><Relationship Id="rId10" Type="http://schemas.openxmlformats.org/officeDocument/2006/relationships/chart" Target="charts/chart5.xm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chart" Target="charts/chart4.xml"/><Relationship Id="rId14" Type="http://schemas.openxmlformats.org/officeDocument/2006/relationships/chart" Target="charts/chart9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G:\&#1050;&#1085;&#1080;&#1075;&#1072;1%20&#1084;&#1086;&#1085;&#1080;&#1090;&#1086;&#1088;&#1080;&#1085;&#1075;%20&#1076;&#1077;&#1082;&#1072;&#1073;&#1088;&#1100;%2012%20%201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G:\&#1050;&#1085;&#1080;&#1075;&#1072;1%20&#1084;&#1086;&#1085;&#1080;&#1090;&#1086;&#1088;&#1080;&#1085;&#1075;%20&#1076;&#1077;&#1082;&#1072;&#1073;&#1088;&#1100;%2012%20%201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G:\&#1050;&#1085;&#1080;&#1075;&#1072;1%20&#1084;&#1086;&#1085;&#1080;&#1090;&#1086;&#1088;&#1080;&#1085;&#1075;%20&#1076;&#1077;&#1082;&#1072;&#1073;&#1088;&#1100;%2012%20%201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G:\&#1050;&#1085;&#1080;&#1075;&#1072;1%20&#1084;&#1086;&#1085;&#1080;&#1090;&#1086;&#1088;&#1080;&#1085;&#1075;%20&#1076;&#1077;&#1082;&#1072;&#1073;&#1088;&#1100;%2012%20%201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G:\&#1050;&#1085;&#1080;&#1075;&#1072;1%20&#1084;&#1086;&#1085;&#1080;&#1090;&#1086;&#1088;&#1080;&#1085;&#1075;%20&#1076;&#1077;&#1082;&#1072;&#1073;&#1088;&#1100;%2012%20%201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G:\&#1050;&#1085;&#1080;&#1075;&#1072;1%20&#1084;&#1086;&#1085;&#1080;&#1090;&#1086;&#1088;&#1080;&#1085;&#1075;%20&#1076;&#1077;&#1082;&#1072;&#1073;&#1088;&#1100;%2012%20%201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G:\&#1050;&#1085;&#1080;&#1075;&#1072;1%20&#1084;&#1086;&#1085;&#1080;&#1090;&#1086;&#1088;&#1080;&#1085;&#1075;%20&#1076;&#1077;&#1082;&#1072;&#1073;&#1088;&#1100;%2012%20%201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G:\&#1050;&#1085;&#1080;&#1075;&#1072;1%20&#1084;&#1086;&#1085;&#1080;&#1090;&#1086;&#1088;&#1080;&#1085;&#1075;%20&#1076;&#1077;&#1082;&#1072;&#1073;&#1088;&#1100;%2012%20%201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G:\&#1050;&#1085;&#1080;&#1075;&#1072;1%20&#1084;&#1086;&#1085;&#1080;&#1090;&#1086;&#1088;&#1080;&#1085;&#1075;%20&#1076;&#1077;&#1082;&#1072;&#1073;&#1088;&#1100;%2012%20%201.xlsx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G:\&#1050;&#1085;&#1080;&#1075;&#1072;1%20&#1084;&#1086;&#1085;&#1080;&#1090;&#1086;&#1088;&#1080;&#1085;&#1075;%20&#1076;&#1077;&#1082;&#1072;&#1073;&#1088;&#1100;%2012%20%201.xlsx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G:\&#1050;&#1085;&#1080;&#1075;&#1072;1%20&#1084;&#1086;&#1085;&#1080;&#1090;&#1086;&#1088;&#1080;&#1085;&#1075;%20&#1076;&#1077;&#1082;&#1072;&#1073;&#1088;&#1100;%2012%20%201.xlsx" TargetMode="Externa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G:\&#1050;&#1085;&#1080;&#1075;&#1072;1%20&#1084;&#1086;&#1085;&#1080;&#1090;&#1086;&#1088;&#1080;&#1085;&#1075;%20&#1076;&#1077;&#1082;&#1072;&#1073;&#1088;&#1100;%2012%20%201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otX val="30"/>
      <c:perspective val="30"/>
    </c:view3D>
    <c:plotArea>
      <c:layout/>
      <c:pie3DChart>
        <c:varyColors val="1"/>
        <c:ser>
          <c:idx val="0"/>
          <c:order val="0"/>
          <c:explosion val="25"/>
          <c:dLbls>
            <c:showVal val="1"/>
            <c:showLeaderLines val="1"/>
          </c:dLbls>
          <c:cat>
            <c:strRef>
              <c:f>Лист2!$H$30:$K$30</c:f>
              <c:strCache>
                <c:ptCount val="4"/>
                <c:pt idx="0">
                  <c:v>высокий уровень</c:v>
                </c:pt>
                <c:pt idx="1">
                  <c:v>достаточный уровень</c:v>
                </c:pt>
                <c:pt idx="2">
                  <c:v>средний уровень</c:v>
                </c:pt>
                <c:pt idx="3">
                  <c:v>начальный уровень</c:v>
                </c:pt>
              </c:strCache>
            </c:strRef>
          </c:cat>
          <c:val>
            <c:numRef>
              <c:f>Лист2!$H$31:$K$31</c:f>
              <c:numCache>
                <c:formatCode>0%</c:formatCode>
                <c:ptCount val="4"/>
                <c:pt idx="0">
                  <c:v>0.18000000000000002</c:v>
                </c:pt>
                <c:pt idx="1">
                  <c:v>0.34</c:v>
                </c:pt>
                <c:pt idx="2">
                  <c:v>0.41000000000000003</c:v>
                </c:pt>
                <c:pt idx="3">
                  <c:v>7.0000000000000021E-2</c:v>
                </c:pt>
              </c:numCache>
            </c:numRef>
          </c:val>
        </c:ser>
      </c:pie3DChart>
    </c:plotArea>
    <c:legend>
      <c:legendPos val="r"/>
      <c:layout/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Лист2!$N$4</c:f>
              <c:strCache>
                <c:ptCount val="1"/>
                <c:pt idx="0">
                  <c:v>ГИА 4 кл</c:v>
                </c:pt>
              </c:strCache>
            </c:strRef>
          </c:tx>
          <c:dLbls>
            <c:showVal val="1"/>
          </c:dLbls>
          <c:cat>
            <c:strRef>
              <c:f>Лист2!$O$3:$R$3</c:f>
              <c:strCache>
                <c:ptCount val="4"/>
                <c:pt idx="0">
                  <c:v>высокий уровень</c:v>
                </c:pt>
                <c:pt idx="1">
                  <c:v>достаточный уровень</c:v>
                </c:pt>
                <c:pt idx="2">
                  <c:v>средний уровень</c:v>
                </c:pt>
                <c:pt idx="3">
                  <c:v>начальный уровень</c:v>
                </c:pt>
              </c:strCache>
            </c:strRef>
          </c:cat>
          <c:val>
            <c:numRef>
              <c:f>Лист2!$O$4:$R$4</c:f>
              <c:numCache>
                <c:formatCode>0%</c:formatCode>
                <c:ptCount val="4"/>
                <c:pt idx="0">
                  <c:v>0.31000000000000005</c:v>
                </c:pt>
                <c:pt idx="1">
                  <c:v>0.40500000000000008</c:v>
                </c:pt>
                <c:pt idx="2">
                  <c:v>0.27</c:v>
                </c:pt>
                <c:pt idx="3">
                  <c:v>1.0000000000000002E-2</c:v>
                </c:pt>
              </c:numCache>
            </c:numRef>
          </c:val>
        </c:ser>
        <c:ser>
          <c:idx val="1"/>
          <c:order val="1"/>
          <c:tx>
            <c:strRef>
              <c:f>Лист2!$N$5</c:f>
              <c:strCache>
                <c:ptCount val="1"/>
                <c:pt idx="0">
                  <c:v>сен.12</c:v>
                </c:pt>
              </c:strCache>
            </c:strRef>
          </c:tx>
          <c:dLbls>
            <c:dLbl>
              <c:idx val="1"/>
              <c:layout>
                <c:manualLayout>
                  <c:x val="2.5970278459096816E-2"/>
                  <c:y val="-2.5457438345266509E-2"/>
                </c:manualLayout>
              </c:layout>
              <c:showVal val="1"/>
            </c:dLbl>
            <c:dLbl>
              <c:idx val="2"/>
              <c:layout>
                <c:manualLayout>
                  <c:x val="5.1940556918193617E-2"/>
                  <c:y val="-7.2924111167656356E-18"/>
                </c:manualLayout>
              </c:layout>
              <c:showVal val="1"/>
            </c:dLbl>
            <c:showVal val="1"/>
          </c:dLbls>
          <c:cat>
            <c:strRef>
              <c:f>Лист2!$O$3:$R$3</c:f>
              <c:strCache>
                <c:ptCount val="4"/>
                <c:pt idx="0">
                  <c:v>высокий уровень</c:v>
                </c:pt>
                <c:pt idx="1">
                  <c:v>достаточный уровень</c:v>
                </c:pt>
                <c:pt idx="2">
                  <c:v>средний уровень</c:v>
                </c:pt>
                <c:pt idx="3">
                  <c:v>начальный уровень</c:v>
                </c:pt>
              </c:strCache>
            </c:strRef>
          </c:cat>
          <c:val>
            <c:numRef>
              <c:f>Лист2!$O$5:$R$5</c:f>
              <c:numCache>
                <c:formatCode>0%</c:formatCode>
                <c:ptCount val="4"/>
                <c:pt idx="0">
                  <c:v>0.15000000000000002</c:v>
                </c:pt>
                <c:pt idx="1">
                  <c:v>0.32000000000000006</c:v>
                </c:pt>
                <c:pt idx="2">
                  <c:v>0.41000000000000003</c:v>
                </c:pt>
                <c:pt idx="3">
                  <c:v>0.12000000000000001</c:v>
                </c:pt>
              </c:numCache>
            </c:numRef>
          </c:val>
        </c:ser>
        <c:ser>
          <c:idx val="2"/>
          <c:order val="2"/>
          <c:tx>
            <c:strRef>
              <c:f>Лист2!$N$6</c:f>
              <c:strCache>
                <c:ptCount val="1"/>
                <c:pt idx="0">
                  <c:v>дек.12</c:v>
                </c:pt>
              </c:strCache>
            </c:strRef>
          </c:tx>
          <c:dLbls>
            <c:dLbl>
              <c:idx val="1"/>
              <c:layout>
                <c:manualLayout>
                  <c:x val="5.4826143413648887E-2"/>
                  <c:y val="-1.2728719172633254E-2"/>
                </c:manualLayout>
              </c:layout>
              <c:showVal val="1"/>
            </c:dLbl>
            <c:dLbl>
              <c:idx val="2"/>
              <c:layout>
                <c:manualLayout>
                  <c:x val="-4.3283797431828031E-2"/>
                  <c:y val="3.1821797931583145E-3"/>
                </c:manualLayout>
              </c:layout>
              <c:showVal val="1"/>
            </c:dLbl>
            <c:dLbl>
              <c:idx val="3"/>
              <c:layout>
                <c:manualLayout>
                  <c:x val="5.7711729909104038E-2"/>
                  <c:y val="0"/>
                </c:manualLayout>
              </c:layout>
              <c:showVal val="1"/>
            </c:dLbl>
            <c:showVal val="1"/>
          </c:dLbls>
          <c:cat>
            <c:strRef>
              <c:f>Лист2!$O$3:$R$3</c:f>
              <c:strCache>
                <c:ptCount val="4"/>
                <c:pt idx="0">
                  <c:v>высокий уровень</c:v>
                </c:pt>
                <c:pt idx="1">
                  <c:v>достаточный уровень</c:v>
                </c:pt>
                <c:pt idx="2">
                  <c:v>средний уровень</c:v>
                </c:pt>
                <c:pt idx="3">
                  <c:v>начальный уровень</c:v>
                </c:pt>
              </c:strCache>
            </c:strRef>
          </c:cat>
          <c:val>
            <c:numRef>
              <c:f>Лист2!$O$6:$R$6</c:f>
              <c:numCache>
                <c:formatCode>0%</c:formatCode>
                <c:ptCount val="4"/>
                <c:pt idx="0">
                  <c:v>0.18000000000000002</c:v>
                </c:pt>
                <c:pt idx="1">
                  <c:v>0.34</c:v>
                </c:pt>
                <c:pt idx="2">
                  <c:v>0.41000000000000003</c:v>
                </c:pt>
                <c:pt idx="3">
                  <c:v>7.0000000000000021E-2</c:v>
                </c:pt>
              </c:numCache>
            </c:numRef>
          </c:val>
        </c:ser>
        <c:shape val="box"/>
        <c:axId val="56060544"/>
        <c:axId val="56086912"/>
        <c:axId val="0"/>
      </c:bar3DChart>
      <c:catAx>
        <c:axId val="56060544"/>
        <c:scaling>
          <c:orientation val="minMax"/>
        </c:scaling>
        <c:axPos val="b"/>
        <c:tickLblPos val="nextTo"/>
        <c:crossAx val="56086912"/>
        <c:crosses val="autoZero"/>
        <c:auto val="1"/>
        <c:lblAlgn val="ctr"/>
        <c:lblOffset val="100"/>
      </c:catAx>
      <c:valAx>
        <c:axId val="56086912"/>
        <c:scaling>
          <c:orientation val="minMax"/>
        </c:scaling>
        <c:axPos val="l"/>
        <c:majorGridlines/>
        <c:numFmt formatCode="0%" sourceLinked="1"/>
        <c:tickLblPos val="nextTo"/>
        <c:crossAx val="56060544"/>
        <c:crosses val="autoZero"/>
        <c:crossBetween val="between"/>
      </c:valAx>
    </c:plotArea>
    <c:legend>
      <c:legendPos val="r"/>
      <c:layout/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plotArea>
      <c:layout/>
      <c:lineChart>
        <c:grouping val="standard"/>
        <c:ser>
          <c:idx val="0"/>
          <c:order val="0"/>
          <c:tx>
            <c:strRef>
              <c:f>Лист2!$B$2</c:f>
              <c:strCache>
                <c:ptCount val="1"/>
                <c:pt idx="0">
                  <c:v>сен.12</c:v>
                </c:pt>
              </c:strCache>
            </c:strRef>
          </c:tx>
          <c:marker>
            <c:symbol val="none"/>
          </c:marker>
          <c:cat>
            <c:strRef>
              <c:f>Лист2!$A$3:$A$33</c:f>
              <c:strCache>
                <c:ptCount val="31"/>
                <c:pt idx="0">
                  <c:v>лицей № 1</c:v>
                </c:pt>
                <c:pt idx="1">
                  <c:v>гимназия № 1</c:v>
                </c:pt>
                <c:pt idx="2">
                  <c:v>гимназия № 2</c:v>
                </c:pt>
                <c:pt idx="3">
                  <c:v>Черв.гимназия</c:v>
                </c:pt>
                <c:pt idx="4">
                  <c:v>ООШ № 2</c:v>
                </c:pt>
                <c:pt idx="5">
                  <c:v>ООШ № 3</c:v>
                </c:pt>
                <c:pt idx="6">
                  <c:v>ООШ № 4</c:v>
                </c:pt>
                <c:pt idx="7">
                  <c:v>ООШ № 5</c:v>
                </c:pt>
                <c:pt idx="8">
                  <c:v>ООШ № 6</c:v>
                </c:pt>
                <c:pt idx="9">
                  <c:v>ООШ № 7</c:v>
                </c:pt>
                <c:pt idx="10">
                  <c:v>ООШ № 8</c:v>
                </c:pt>
                <c:pt idx="11">
                  <c:v>ООШ № 9</c:v>
                </c:pt>
                <c:pt idx="12">
                  <c:v>ООШ № 11</c:v>
                </c:pt>
                <c:pt idx="13">
                  <c:v>ЧООШ № 1</c:v>
                </c:pt>
                <c:pt idx="14">
                  <c:v>ЧООШ № 2</c:v>
                </c:pt>
                <c:pt idx="15">
                  <c:v>ЧООШ № 3</c:v>
                </c:pt>
                <c:pt idx="16">
                  <c:v>Ленинская ООШ № 1</c:v>
                </c:pt>
                <c:pt idx="17">
                  <c:v>Шахтерская ООШ № 1</c:v>
                </c:pt>
                <c:pt idx="18">
                  <c:v>Бирюковская ООШ</c:v>
                </c:pt>
                <c:pt idx="19">
                  <c:v>ВолодарскаяООШ</c:v>
                </c:pt>
                <c:pt idx="20">
                  <c:v>Калининская ООШ</c:v>
                </c:pt>
                <c:pt idx="21">
                  <c:v>Комсомольская ООШ</c:v>
                </c:pt>
                <c:pt idx="22">
                  <c:v>Павловская ООШ</c:v>
                </c:pt>
                <c:pt idx="23">
                  <c:v>Должанская ООШ</c:v>
                </c:pt>
                <c:pt idx="24">
                  <c:v>Медвежанская ООШ</c:v>
                </c:pt>
                <c:pt idx="25">
                  <c:v>Н -Боровицкая ООШ</c:v>
                </c:pt>
                <c:pt idx="26">
                  <c:v>Провальская ООШ</c:v>
                </c:pt>
                <c:pt idx="27">
                  <c:v>Астаховская ООШ</c:v>
                </c:pt>
                <c:pt idx="28">
                  <c:v>К-Крепенская ООШ</c:v>
                </c:pt>
                <c:pt idx="29">
                  <c:v>СООШИ</c:v>
                </c:pt>
                <c:pt idx="30">
                  <c:v>по городу</c:v>
                </c:pt>
              </c:strCache>
            </c:strRef>
          </c:cat>
          <c:val>
            <c:numRef>
              <c:f>Лист2!$B$3:$B$33</c:f>
              <c:numCache>
                <c:formatCode>General</c:formatCode>
                <c:ptCount val="31"/>
                <c:pt idx="0">
                  <c:v>47</c:v>
                </c:pt>
                <c:pt idx="1">
                  <c:v>39</c:v>
                </c:pt>
                <c:pt idx="2">
                  <c:v>46</c:v>
                </c:pt>
                <c:pt idx="3">
                  <c:v>55</c:v>
                </c:pt>
                <c:pt idx="4">
                  <c:v>21</c:v>
                </c:pt>
                <c:pt idx="5">
                  <c:v>51</c:v>
                </c:pt>
                <c:pt idx="6">
                  <c:v>28</c:v>
                </c:pt>
                <c:pt idx="7">
                  <c:v>63</c:v>
                </c:pt>
                <c:pt idx="8">
                  <c:v>23</c:v>
                </c:pt>
                <c:pt idx="9">
                  <c:v>28</c:v>
                </c:pt>
                <c:pt idx="10">
                  <c:v>89.2</c:v>
                </c:pt>
                <c:pt idx="11">
                  <c:v>60</c:v>
                </c:pt>
                <c:pt idx="12">
                  <c:v>44.6</c:v>
                </c:pt>
                <c:pt idx="13">
                  <c:v>40.700000000000003</c:v>
                </c:pt>
                <c:pt idx="14">
                  <c:v>37</c:v>
                </c:pt>
                <c:pt idx="15">
                  <c:v>44</c:v>
                </c:pt>
                <c:pt idx="16">
                  <c:v>36</c:v>
                </c:pt>
                <c:pt idx="17">
                  <c:v>36</c:v>
                </c:pt>
                <c:pt idx="18">
                  <c:v>57</c:v>
                </c:pt>
                <c:pt idx="19">
                  <c:v>25</c:v>
                </c:pt>
                <c:pt idx="20">
                  <c:v>70</c:v>
                </c:pt>
                <c:pt idx="21">
                  <c:v>70</c:v>
                </c:pt>
                <c:pt idx="22">
                  <c:v>83</c:v>
                </c:pt>
                <c:pt idx="23">
                  <c:v>49.8</c:v>
                </c:pt>
                <c:pt idx="24">
                  <c:v>37.5</c:v>
                </c:pt>
                <c:pt idx="25">
                  <c:v>60</c:v>
                </c:pt>
                <c:pt idx="26">
                  <c:v>80</c:v>
                </c:pt>
                <c:pt idx="27">
                  <c:v>60</c:v>
                </c:pt>
                <c:pt idx="28">
                  <c:v>50</c:v>
                </c:pt>
                <c:pt idx="29">
                  <c:v>34</c:v>
                </c:pt>
                <c:pt idx="30">
                  <c:v>47</c:v>
                </c:pt>
              </c:numCache>
            </c:numRef>
          </c:val>
        </c:ser>
        <c:ser>
          <c:idx val="1"/>
          <c:order val="1"/>
          <c:tx>
            <c:strRef>
              <c:f>Лист2!$C$2</c:f>
              <c:strCache>
                <c:ptCount val="1"/>
                <c:pt idx="0">
                  <c:v>дек.12</c:v>
                </c:pt>
              </c:strCache>
            </c:strRef>
          </c:tx>
          <c:marker>
            <c:symbol val="none"/>
          </c:marker>
          <c:cat>
            <c:strRef>
              <c:f>Лист2!$A$3:$A$33</c:f>
              <c:strCache>
                <c:ptCount val="31"/>
                <c:pt idx="0">
                  <c:v>лицей № 1</c:v>
                </c:pt>
                <c:pt idx="1">
                  <c:v>гимназия № 1</c:v>
                </c:pt>
                <c:pt idx="2">
                  <c:v>гимназия № 2</c:v>
                </c:pt>
                <c:pt idx="3">
                  <c:v>Черв.гимназия</c:v>
                </c:pt>
                <c:pt idx="4">
                  <c:v>ООШ № 2</c:v>
                </c:pt>
                <c:pt idx="5">
                  <c:v>ООШ № 3</c:v>
                </c:pt>
                <c:pt idx="6">
                  <c:v>ООШ № 4</c:v>
                </c:pt>
                <c:pt idx="7">
                  <c:v>ООШ № 5</c:v>
                </c:pt>
                <c:pt idx="8">
                  <c:v>ООШ № 6</c:v>
                </c:pt>
                <c:pt idx="9">
                  <c:v>ООШ № 7</c:v>
                </c:pt>
                <c:pt idx="10">
                  <c:v>ООШ № 8</c:v>
                </c:pt>
                <c:pt idx="11">
                  <c:v>ООШ № 9</c:v>
                </c:pt>
                <c:pt idx="12">
                  <c:v>ООШ № 11</c:v>
                </c:pt>
                <c:pt idx="13">
                  <c:v>ЧООШ № 1</c:v>
                </c:pt>
                <c:pt idx="14">
                  <c:v>ЧООШ № 2</c:v>
                </c:pt>
                <c:pt idx="15">
                  <c:v>ЧООШ № 3</c:v>
                </c:pt>
                <c:pt idx="16">
                  <c:v>Ленинская ООШ № 1</c:v>
                </c:pt>
                <c:pt idx="17">
                  <c:v>Шахтерская ООШ № 1</c:v>
                </c:pt>
                <c:pt idx="18">
                  <c:v>Бирюковская ООШ</c:v>
                </c:pt>
                <c:pt idx="19">
                  <c:v>ВолодарскаяООШ</c:v>
                </c:pt>
                <c:pt idx="20">
                  <c:v>Калининская ООШ</c:v>
                </c:pt>
                <c:pt idx="21">
                  <c:v>Комсомольская ООШ</c:v>
                </c:pt>
                <c:pt idx="22">
                  <c:v>Павловская ООШ</c:v>
                </c:pt>
                <c:pt idx="23">
                  <c:v>Должанская ООШ</c:v>
                </c:pt>
                <c:pt idx="24">
                  <c:v>Медвежанская ООШ</c:v>
                </c:pt>
                <c:pt idx="25">
                  <c:v>Н -Боровицкая ООШ</c:v>
                </c:pt>
                <c:pt idx="26">
                  <c:v>Провальская ООШ</c:v>
                </c:pt>
                <c:pt idx="27">
                  <c:v>Астаховская ООШ</c:v>
                </c:pt>
                <c:pt idx="28">
                  <c:v>К-Крепенская ООШ</c:v>
                </c:pt>
                <c:pt idx="29">
                  <c:v>СООШИ</c:v>
                </c:pt>
                <c:pt idx="30">
                  <c:v>по городу</c:v>
                </c:pt>
              </c:strCache>
            </c:strRef>
          </c:cat>
          <c:val>
            <c:numRef>
              <c:f>Лист2!$C$3:$C$33</c:f>
              <c:numCache>
                <c:formatCode>General</c:formatCode>
                <c:ptCount val="31"/>
                <c:pt idx="0">
                  <c:v>55</c:v>
                </c:pt>
                <c:pt idx="1">
                  <c:v>37</c:v>
                </c:pt>
                <c:pt idx="2">
                  <c:v>62</c:v>
                </c:pt>
                <c:pt idx="3">
                  <c:v>47</c:v>
                </c:pt>
                <c:pt idx="4">
                  <c:v>63</c:v>
                </c:pt>
                <c:pt idx="5">
                  <c:v>44</c:v>
                </c:pt>
                <c:pt idx="6">
                  <c:v>17</c:v>
                </c:pt>
                <c:pt idx="7">
                  <c:v>50</c:v>
                </c:pt>
                <c:pt idx="8">
                  <c:v>39</c:v>
                </c:pt>
                <c:pt idx="9">
                  <c:v>37</c:v>
                </c:pt>
                <c:pt idx="10">
                  <c:v>82.8</c:v>
                </c:pt>
                <c:pt idx="11">
                  <c:v>64</c:v>
                </c:pt>
                <c:pt idx="12">
                  <c:v>55.4</c:v>
                </c:pt>
                <c:pt idx="13">
                  <c:v>55.7</c:v>
                </c:pt>
                <c:pt idx="14">
                  <c:v>64</c:v>
                </c:pt>
                <c:pt idx="15">
                  <c:v>54</c:v>
                </c:pt>
                <c:pt idx="16">
                  <c:v>37</c:v>
                </c:pt>
                <c:pt idx="17">
                  <c:v>44</c:v>
                </c:pt>
                <c:pt idx="18">
                  <c:v>55</c:v>
                </c:pt>
                <c:pt idx="19">
                  <c:v>44</c:v>
                </c:pt>
                <c:pt idx="20">
                  <c:v>80</c:v>
                </c:pt>
                <c:pt idx="21">
                  <c:v>66</c:v>
                </c:pt>
                <c:pt idx="22">
                  <c:v>60</c:v>
                </c:pt>
                <c:pt idx="23">
                  <c:v>60</c:v>
                </c:pt>
                <c:pt idx="24">
                  <c:v>40</c:v>
                </c:pt>
                <c:pt idx="25">
                  <c:v>50</c:v>
                </c:pt>
                <c:pt idx="26">
                  <c:v>75</c:v>
                </c:pt>
                <c:pt idx="27">
                  <c:v>60</c:v>
                </c:pt>
                <c:pt idx="28">
                  <c:v>50</c:v>
                </c:pt>
                <c:pt idx="29">
                  <c:v>33</c:v>
                </c:pt>
                <c:pt idx="30">
                  <c:v>52</c:v>
                </c:pt>
              </c:numCache>
            </c:numRef>
          </c:val>
        </c:ser>
        <c:marker val="1"/>
        <c:axId val="56984704"/>
        <c:axId val="56986240"/>
      </c:lineChart>
      <c:catAx>
        <c:axId val="56984704"/>
        <c:scaling>
          <c:orientation val="minMax"/>
        </c:scaling>
        <c:axPos val="b"/>
        <c:tickLblPos val="nextTo"/>
        <c:crossAx val="56986240"/>
        <c:crosses val="autoZero"/>
        <c:auto val="1"/>
        <c:lblAlgn val="ctr"/>
        <c:lblOffset val="100"/>
        <c:tickLblSkip val="1"/>
      </c:catAx>
      <c:valAx>
        <c:axId val="56986240"/>
        <c:scaling>
          <c:orientation val="minMax"/>
        </c:scaling>
        <c:axPos val="l"/>
        <c:majorGridlines/>
        <c:numFmt formatCode="General" sourceLinked="1"/>
        <c:tickLblPos val="nextTo"/>
        <c:crossAx val="56984704"/>
        <c:crosses val="autoZero"/>
        <c:crossBetween val="midCat"/>
      </c:valAx>
    </c:plotArea>
    <c:legend>
      <c:legendPos val="r"/>
      <c:layout/>
    </c:legend>
    <c:plotVisOnly val="1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dLbls>
            <c:showVal val="1"/>
          </c:dLbls>
          <c:cat>
            <c:strRef>
              <c:f>Лист2!$F$3:$G$3</c:f>
              <c:strCache>
                <c:ptCount val="2"/>
                <c:pt idx="0">
                  <c:v>ср.балл в сентябре 2012</c:v>
                </c:pt>
                <c:pt idx="1">
                  <c:v>ср балл в декабре 2012</c:v>
                </c:pt>
              </c:strCache>
            </c:strRef>
          </c:cat>
          <c:val>
            <c:numRef>
              <c:f>Лист2!$F$4:$G$4</c:f>
              <c:numCache>
                <c:formatCode>General</c:formatCode>
                <c:ptCount val="2"/>
                <c:pt idx="0">
                  <c:v>6.3</c:v>
                </c:pt>
                <c:pt idx="1">
                  <c:v>6.9</c:v>
                </c:pt>
              </c:numCache>
            </c:numRef>
          </c:val>
        </c:ser>
        <c:shape val="cone"/>
        <c:axId val="57001856"/>
        <c:axId val="57003392"/>
        <c:axId val="0"/>
      </c:bar3DChart>
      <c:catAx>
        <c:axId val="57001856"/>
        <c:scaling>
          <c:orientation val="minMax"/>
        </c:scaling>
        <c:axPos val="b"/>
        <c:tickLblPos val="nextTo"/>
        <c:crossAx val="57003392"/>
        <c:crosses val="autoZero"/>
        <c:auto val="1"/>
        <c:lblAlgn val="ctr"/>
        <c:lblOffset val="100"/>
      </c:catAx>
      <c:valAx>
        <c:axId val="57003392"/>
        <c:scaling>
          <c:orientation val="minMax"/>
        </c:scaling>
        <c:axPos val="l"/>
        <c:majorGridlines/>
        <c:numFmt formatCode="General" sourceLinked="1"/>
        <c:tickLblPos val="nextTo"/>
        <c:crossAx val="57001856"/>
        <c:crosses val="autoZero"/>
        <c:crossBetween val="between"/>
      </c:valAx>
    </c:plotArea>
    <c:plotVisOnly val="1"/>
  </c:chart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otX val="30"/>
      <c:perspective val="30"/>
    </c:view3D>
    <c:plotArea>
      <c:layout/>
      <c:pie3DChart>
        <c:varyColors val="1"/>
        <c:ser>
          <c:idx val="0"/>
          <c:order val="0"/>
          <c:explosion val="25"/>
          <c:dLbls>
            <c:showVal val="1"/>
            <c:showLeaderLines val="1"/>
          </c:dLbls>
          <c:cat>
            <c:strRef>
              <c:f>Лист2!$T$25:$W$25</c:f>
              <c:strCache>
                <c:ptCount val="4"/>
                <c:pt idx="0">
                  <c:v>высокий уровень</c:v>
                </c:pt>
                <c:pt idx="1">
                  <c:v>достаточный уровень</c:v>
                </c:pt>
                <c:pt idx="2">
                  <c:v>средний уровень</c:v>
                </c:pt>
                <c:pt idx="3">
                  <c:v>начальный уровень</c:v>
                </c:pt>
              </c:strCache>
            </c:strRef>
          </c:cat>
          <c:val>
            <c:numRef>
              <c:f>Лист2!$T$26:$W$26</c:f>
              <c:numCache>
                <c:formatCode>0%</c:formatCode>
                <c:ptCount val="4"/>
                <c:pt idx="0">
                  <c:v>0.1</c:v>
                </c:pt>
                <c:pt idx="1">
                  <c:v>0.29000000000000004</c:v>
                </c:pt>
                <c:pt idx="2">
                  <c:v>0.54</c:v>
                </c:pt>
                <c:pt idx="3">
                  <c:v>7.0000000000000021E-2</c:v>
                </c:pt>
              </c:numCache>
            </c:numRef>
          </c:val>
        </c:ser>
      </c:pie3DChart>
    </c:plotArea>
    <c:legend>
      <c:legendPos val="r"/>
      <c:layout/>
    </c:legend>
    <c:plotVisOnly val="1"/>
  </c:chart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Лист2!$X$4</c:f>
              <c:strCache>
                <c:ptCount val="1"/>
                <c:pt idx="0">
                  <c:v>дек.11</c:v>
                </c:pt>
              </c:strCache>
            </c:strRef>
          </c:tx>
          <c:dLbls>
            <c:showVal val="1"/>
          </c:dLbls>
          <c:cat>
            <c:strRef>
              <c:f>Лист2!$Y$3:$AB$3</c:f>
              <c:strCache>
                <c:ptCount val="4"/>
                <c:pt idx="0">
                  <c:v>высокий уровень</c:v>
                </c:pt>
                <c:pt idx="1">
                  <c:v>достаточный уровень</c:v>
                </c:pt>
                <c:pt idx="2">
                  <c:v>средний уровень</c:v>
                </c:pt>
                <c:pt idx="3">
                  <c:v>начальный уровень</c:v>
                </c:pt>
              </c:strCache>
            </c:strRef>
          </c:cat>
          <c:val>
            <c:numRef>
              <c:f>Лист2!$Y$4:$AB$4</c:f>
              <c:numCache>
                <c:formatCode>0%</c:formatCode>
                <c:ptCount val="4"/>
                <c:pt idx="0">
                  <c:v>6.0000000000000005E-2</c:v>
                </c:pt>
                <c:pt idx="1">
                  <c:v>0.2</c:v>
                </c:pt>
                <c:pt idx="2">
                  <c:v>0.56000000000000005</c:v>
                </c:pt>
                <c:pt idx="3">
                  <c:v>0.18000000000000002</c:v>
                </c:pt>
              </c:numCache>
            </c:numRef>
          </c:val>
        </c:ser>
        <c:ser>
          <c:idx val="1"/>
          <c:order val="1"/>
          <c:tx>
            <c:strRef>
              <c:f>Лист2!$X$5</c:f>
              <c:strCache>
                <c:ptCount val="1"/>
                <c:pt idx="0">
                  <c:v>сен.12</c:v>
                </c:pt>
              </c:strCache>
            </c:strRef>
          </c:tx>
          <c:dLbls>
            <c:dLbl>
              <c:idx val="2"/>
              <c:layout>
                <c:manualLayout>
                  <c:x val="1.666666666666667E-2"/>
                  <c:y val="-4.6296296296296302E-3"/>
                </c:manualLayout>
              </c:layout>
              <c:showVal val="1"/>
            </c:dLbl>
            <c:dLbl>
              <c:idx val="3"/>
              <c:layout>
                <c:manualLayout>
                  <c:x val="3.333333333333334E-2"/>
                  <c:y val="0"/>
                </c:manualLayout>
              </c:layout>
              <c:showVal val="1"/>
            </c:dLbl>
            <c:showVal val="1"/>
          </c:dLbls>
          <c:cat>
            <c:strRef>
              <c:f>Лист2!$Y$3:$AB$3</c:f>
              <c:strCache>
                <c:ptCount val="4"/>
                <c:pt idx="0">
                  <c:v>высокий уровень</c:v>
                </c:pt>
                <c:pt idx="1">
                  <c:v>достаточный уровень</c:v>
                </c:pt>
                <c:pt idx="2">
                  <c:v>средний уровень</c:v>
                </c:pt>
                <c:pt idx="3">
                  <c:v>начальный уровень</c:v>
                </c:pt>
              </c:strCache>
            </c:strRef>
          </c:cat>
          <c:val>
            <c:numRef>
              <c:f>Лист2!$Y$5:$AB$5</c:f>
              <c:numCache>
                <c:formatCode>0%</c:formatCode>
                <c:ptCount val="4"/>
                <c:pt idx="0">
                  <c:v>6.0000000000000005E-2</c:v>
                </c:pt>
                <c:pt idx="1">
                  <c:v>0.25</c:v>
                </c:pt>
                <c:pt idx="2">
                  <c:v>0.53</c:v>
                </c:pt>
                <c:pt idx="3">
                  <c:v>0.17</c:v>
                </c:pt>
              </c:numCache>
            </c:numRef>
          </c:val>
        </c:ser>
        <c:ser>
          <c:idx val="2"/>
          <c:order val="2"/>
          <c:tx>
            <c:strRef>
              <c:f>Лист2!$X$6</c:f>
              <c:strCache>
                <c:ptCount val="1"/>
                <c:pt idx="0">
                  <c:v>дек.12</c:v>
                </c:pt>
              </c:strCache>
            </c:strRef>
          </c:tx>
          <c:dLbls>
            <c:dLbl>
              <c:idx val="2"/>
              <c:layout>
                <c:manualLayout>
                  <c:x val="0.05"/>
                  <c:y val="-1.0609445340016671E-17"/>
                </c:manualLayout>
              </c:layout>
              <c:showVal val="1"/>
            </c:dLbl>
            <c:dLbl>
              <c:idx val="3"/>
              <c:layout>
                <c:manualLayout>
                  <c:x val="3.333333333333334E-2"/>
                  <c:y val="0"/>
                </c:manualLayout>
              </c:layout>
              <c:showVal val="1"/>
            </c:dLbl>
            <c:showVal val="1"/>
          </c:dLbls>
          <c:cat>
            <c:strRef>
              <c:f>Лист2!$Y$3:$AB$3</c:f>
              <c:strCache>
                <c:ptCount val="4"/>
                <c:pt idx="0">
                  <c:v>высокий уровень</c:v>
                </c:pt>
                <c:pt idx="1">
                  <c:v>достаточный уровень</c:v>
                </c:pt>
                <c:pt idx="2">
                  <c:v>средний уровень</c:v>
                </c:pt>
                <c:pt idx="3">
                  <c:v>начальный уровень</c:v>
                </c:pt>
              </c:strCache>
            </c:strRef>
          </c:cat>
          <c:val>
            <c:numRef>
              <c:f>Лист2!$Y$6:$AB$6</c:f>
              <c:numCache>
                <c:formatCode>0%</c:formatCode>
                <c:ptCount val="4"/>
                <c:pt idx="0">
                  <c:v>0.1</c:v>
                </c:pt>
                <c:pt idx="1">
                  <c:v>0.29000000000000004</c:v>
                </c:pt>
                <c:pt idx="2">
                  <c:v>0.54</c:v>
                </c:pt>
                <c:pt idx="3">
                  <c:v>7.0000000000000021E-2</c:v>
                </c:pt>
              </c:numCache>
            </c:numRef>
          </c:val>
        </c:ser>
        <c:shape val="box"/>
        <c:axId val="66522496"/>
        <c:axId val="66557056"/>
        <c:axId val="0"/>
      </c:bar3DChart>
      <c:catAx>
        <c:axId val="66522496"/>
        <c:scaling>
          <c:orientation val="minMax"/>
        </c:scaling>
        <c:axPos val="b"/>
        <c:tickLblPos val="nextTo"/>
        <c:crossAx val="66557056"/>
        <c:crosses val="autoZero"/>
        <c:auto val="1"/>
        <c:lblAlgn val="ctr"/>
        <c:lblOffset val="100"/>
      </c:catAx>
      <c:valAx>
        <c:axId val="66557056"/>
        <c:scaling>
          <c:orientation val="minMax"/>
        </c:scaling>
        <c:axPos val="l"/>
        <c:majorGridlines/>
        <c:numFmt formatCode="0%" sourceLinked="1"/>
        <c:tickLblPos val="nextTo"/>
        <c:crossAx val="66522496"/>
        <c:crosses val="autoZero"/>
        <c:crossBetween val="between"/>
      </c:valAx>
    </c:plotArea>
    <c:legend>
      <c:legendPos val="r"/>
      <c:layout/>
    </c:legend>
    <c:plotVisOnly val="1"/>
  </c:chart>
  <c:externalData r:id="rId1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dLbls>
            <c:showVal val="1"/>
          </c:dLbls>
          <c:cat>
            <c:strRef>
              <c:f>Лист2!$T$7:$U$7</c:f>
              <c:strCache>
                <c:ptCount val="2"/>
                <c:pt idx="0">
                  <c:v>ср.балл в сентябре 2012</c:v>
                </c:pt>
                <c:pt idx="1">
                  <c:v>ср балл в декабре 2012</c:v>
                </c:pt>
              </c:strCache>
            </c:strRef>
          </c:cat>
          <c:val>
            <c:numRef>
              <c:f>Лист2!$T$8:$U$8</c:f>
              <c:numCache>
                <c:formatCode>General</c:formatCode>
                <c:ptCount val="2"/>
                <c:pt idx="0">
                  <c:v>5.3</c:v>
                </c:pt>
                <c:pt idx="1">
                  <c:v>5.8</c:v>
                </c:pt>
              </c:numCache>
            </c:numRef>
          </c:val>
        </c:ser>
        <c:shape val="cone"/>
        <c:axId val="66577536"/>
        <c:axId val="66579072"/>
        <c:axId val="0"/>
      </c:bar3DChart>
      <c:catAx>
        <c:axId val="66577536"/>
        <c:scaling>
          <c:orientation val="minMax"/>
        </c:scaling>
        <c:axPos val="b"/>
        <c:tickLblPos val="nextTo"/>
        <c:crossAx val="66579072"/>
        <c:crosses val="autoZero"/>
        <c:auto val="1"/>
        <c:lblAlgn val="ctr"/>
        <c:lblOffset val="100"/>
      </c:catAx>
      <c:valAx>
        <c:axId val="66579072"/>
        <c:scaling>
          <c:orientation val="minMax"/>
        </c:scaling>
        <c:axPos val="l"/>
        <c:majorGridlines/>
        <c:numFmt formatCode="General" sourceLinked="1"/>
        <c:tickLblPos val="nextTo"/>
        <c:crossAx val="66577536"/>
        <c:crosses val="autoZero"/>
        <c:crossBetween val="between"/>
      </c:valAx>
    </c:plotArea>
    <c:plotVisOnly val="1"/>
  </c:chart>
  <c:externalData r:id="rId1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lineChart>
        <c:grouping val="standard"/>
        <c:ser>
          <c:idx val="0"/>
          <c:order val="0"/>
          <c:tx>
            <c:strRef>
              <c:f>Лист2!$AR$2</c:f>
              <c:strCache>
                <c:ptCount val="1"/>
                <c:pt idx="0">
                  <c:v>сен.12</c:v>
                </c:pt>
              </c:strCache>
            </c:strRef>
          </c:tx>
          <c:marker>
            <c:symbol val="none"/>
          </c:marker>
          <c:cat>
            <c:strRef>
              <c:f>Лист2!$AQ$3:$AQ$33</c:f>
              <c:strCache>
                <c:ptCount val="31"/>
                <c:pt idx="0">
                  <c:v>лицей № 1</c:v>
                </c:pt>
                <c:pt idx="1">
                  <c:v>гимназия № 1</c:v>
                </c:pt>
                <c:pt idx="2">
                  <c:v>гимназия № 2</c:v>
                </c:pt>
                <c:pt idx="3">
                  <c:v>Черв.гимназия</c:v>
                </c:pt>
                <c:pt idx="4">
                  <c:v>ООШ № 2</c:v>
                </c:pt>
                <c:pt idx="5">
                  <c:v>ООШ № 3</c:v>
                </c:pt>
                <c:pt idx="6">
                  <c:v>ООШ № 4</c:v>
                </c:pt>
                <c:pt idx="7">
                  <c:v>ООШ № 5</c:v>
                </c:pt>
                <c:pt idx="8">
                  <c:v>ООШ № 6</c:v>
                </c:pt>
                <c:pt idx="9">
                  <c:v>ООШ № 7</c:v>
                </c:pt>
                <c:pt idx="10">
                  <c:v>ООШ № 8</c:v>
                </c:pt>
                <c:pt idx="11">
                  <c:v>ООШ № 9</c:v>
                </c:pt>
                <c:pt idx="12">
                  <c:v>ООШ № 11</c:v>
                </c:pt>
                <c:pt idx="13">
                  <c:v>ЧООШ № 1</c:v>
                </c:pt>
                <c:pt idx="14">
                  <c:v>ЧООШ № 2</c:v>
                </c:pt>
                <c:pt idx="15">
                  <c:v>ЧООШ № 3</c:v>
                </c:pt>
                <c:pt idx="16">
                  <c:v>Ленинская ООШ № 1</c:v>
                </c:pt>
                <c:pt idx="17">
                  <c:v>Шахтерская ООШ № 1</c:v>
                </c:pt>
                <c:pt idx="18">
                  <c:v>Бирюковская ООШ</c:v>
                </c:pt>
                <c:pt idx="19">
                  <c:v>ВолодарскаяООШ</c:v>
                </c:pt>
                <c:pt idx="20">
                  <c:v>Калининская ООШ</c:v>
                </c:pt>
                <c:pt idx="21">
                  <c:v>Комсомольская ООШ</c:v>
                </c:pt>
                <c:pt idx="22">
                  <c:v>Павловская ООШ</c:v>
                </c:pt>
                <c:pt idx="23">
                  <c:v>Должанская ООШ</c:v>
                </c:pt>
                <c:pt idx="24">
                  <c:v>Медвежанская ООШ</c:v>
                </c:pt>
                <c:pt idx="25">
                  <c:v>Н -Боровицкая ООШ</c:v>
                </c:pt>
                <c:pt idx="26">
                  <c:v>Провальская ООШ</c:v>
                </c:pt>
                <c:pt idx="27">
                  <c:v>Астаховская ООШ</c:v>
                </c:pt>
                <c:pt idx="28">
                  <c:v>К-Крепенская ООШ</c:v>
                </c:pt>
                <c:pt idx="29">
                  <c:v>СООШИ</c:v>
                </c:pt>
                <c:pt idx="30">
                  <c:v>по городу</c:v>
                </c:pt>
              </c:strCache>
            </c:strRef>
          </c:cat>
          <c:val>
            <c:numRef>
              <c:f>Лист2!$AR$3:$AR$33</c:f>
              <c:numCache>
                <c:formatCode>General</c:formatCode>
                <c:ptCount val="31"/>
                <c:pt idx="0">
                  <c:v>57</c:v>
                </c:pt>
                <c:pt idx="1">
                  <c:v>29</c:v>
                </c:pt>
                <c:pt idx="2">
                  <c:v>27</c:v>
                </c:pt>
                <c:pt idx="3">
                  <c:v>27</c:v>
                </c:pt>
                <c:pt idx="4">
                  <c:v>21</c:v>
                </c:pt>
                <c:pt idx="5">
                  <c:v>29</c:v>
                </c:pt>
                <c:pt idx="6">
                  <c:v>33</c:v>
                </c:pt>
                <c:pt idx="7">
                  <c:v>7</c:v>
                </c:pt>
                <c:pt idx="8">
                  <c:v>28</c:v>
                </c:pt>
                <c:pt idx="9">
                  <c:v>20.7</c:v>
                </c:pt>
                <c:pt idx="10">
                  <c:v>30.6</c:v>
                </c:pt>
                <c:pt idx="11">
                  <c:v>26</c:v>
                </c:pt>
                <c:pt idx="12">
                  <c:v>32</c:v>
                </c:pt>
                <c:pt idx="13">
                  <c:v>37</c:v>
                </c:pt>
                <c:pt idx="14">
                  <c:v>11</c:v>
                </c:pt>
                <c:pt idx="15">
                  <c:v>25</c:v>
                </c:pt>
                <c:pt idx="16">
                  <c:v>35</c:v>
                </c:pt>
                <c:pt idx="17">
                  <c:v>36</c:v>
                </c:pt>
                <c:pt idx="18">
                  <c:v>41.6</c:v>
                </c:pt>
                <c:pt idx="19">
                  <c:v>25.9</c:v>
                </c:pt>
                <c:pt idx="20">
                  <c:v>53</c:v>
                </c:pt>
                <c:pt idx="21">
                  <c:v>19</c:v>
                </c:pt>
                <c:pt idx="22">
                  <c:v>37.5</c:v>
                </c:pt>
                <c:pt idx="23">
                  <c:v>34</c:v>
                </c:pt>
                <c:pt idx="24">
                  <c:v>11</c:v>
                </c:pt>
                <c:pt idx="25">
                  <c:v>0</c:v>
                </c:pt>
                <c:pt idx="26">
                  <c:v>75</c:v>
                </c:pt>
                <c:pt idx="27">
                  <c:v>0</c:v>
                </c:pt>
                <c:pt idx="28">
                  <c:v>20</c:v>
                </c:pt>
                <c:pt idx="29">
                  <c:v>0</c:v>
                </c:pt>
                <c:pt idx="30">
                  <c:v>30</c:v>
                </c:pt>
              </c:numCache>
            </c:numRef>
          </c:val>
        </c:ser>
        <c:ser>
          <c:idx val="1"/>
          <c:order val="1"/>
          <c:tx>
            <c:strRef>
              <c:f>Лист2!$AS$2</c:f>
              <c:strCache>
                <c:ptCount val="1"/>
                <c:pt idx="0">
                  <c:v>дек.12</c:v>
                </c:pt>
              </c:strCache>
            </c:strRef>
          </c:tx>
          <c:marker>
            <c:symbol val="none"/>
          </c:marker>
          <c:cat>
            <c:strRef>
              <c:f>Лист2!$AQ$3:$AQ$33</c:f>
              <c:strCache>
                <c:ptCount val="31"/>
                <c:pt idx="0">
                  <c:v>лицей № 1</c:v>
                </c:pt>
                <c:pt idx="1">
                  <c:v>гимназия № 1</c:v>
                </c:pt>
                <c:pt idx="2">
                  <c:v>гимназия № 2</c:v>
                </c:pt>
                <c:pt idx="3">
                  <c:v>Черв.гимназия</c:v>
                </c:pt>
                <c:pt idx="4">
                  <c:v>ООШ № 2</c:v>
                </c:pt>
                <c:pt idx="5">
                  <c:v>ООШ № 3</c:v>
                </c:pt>
                <c:pt idx="6">
                  <c:v>ООШ № 4</c:v>
                </c:pt>
                <c:pt idx="7">
                  <c:v>ООШ № 5</c:v>
                </c:pt>
                <c:pt idx="8">
                  <c:v>ООШ № 6</c:v>
                </c:pt>
                <c:pt idx="9">
                  <c:v>ООШ № 7</c:v>
                </c:pt>
                <c:pt idx="10">
                  <c:v>ООШ № 8</c:v>
                </c:pt>
                <c:pt idx="11">
                  <c:v>ООШ № 9</c:v>
                </c:pt>
                <c:pt idx="12">
                  <c:v>ООШ № 11</c:v>
                </c:pt>
                <c:pt idx="13">
                  <c:v>ЧООШ № 1</c:v>
                </c:pt>
                <c:pt idx="14">
                  <c:v>ЧООШ № 2</c:v>
                </c:pt>
                <c:pt idx="15">
                  <c:v>ЧООШ № 3</c:v>
                </c:pt>
                <c:pt idx="16">
                  <c:v>Ленинская ООШ № 1</c:v>
                </c:pt>
                <c:pt idx="17">
                  <c:v>Шахтерская ООШ № 1</c:v>
                </c:pt>
                <c:pt idx="18">
                  <c:v>Бирюковская ООШ</c:v>
                </c:pt>
                <c:pt idx="19">
                  <c:v>ВолодарскаяООШ</c:v>
                </c:pt>
                <c:pt idx="20">
                  <c:v>Калининская ООШ</c:v>
                </c:pt>
                <c:pt idx="21">
                  <c:v>Комсомольская ООШ</c:v>
                </c:pt>
                <c:pt idx="22">
                  <c:v>Павловская ООШ</c:v>
                </c:pt>
                <c:pt idx="23">
                  <c:v>Должанская ООШ</c:v>
                </c:pt>
                <c:pt idx="24">
                  <c:v>Медвежанская ООШ</c:v>
                </c:pt>
                <c:pt idx="25">
                  <c:v>Н -Боровицкая ООШ</c:v>
                </c:pt>
                <c:pt idx="26">
                  <c:v>Провальская ООШ</c:v>
                </c:pt>
                <c:pt idx="27">
                  <c:v>Астаховская ООШ</c:v>
                </c:pt>
                <c:pt idx="28">
                  <c:v>К-Крепенская ООШ</c:v>
                </c:pt>
                <c:pt idx="29">
                  <c:v>СООШИ</c:v>
                </c:pt>
                <c:pt idx="30">
                  <c:v>по городу</c:v>
                </c:pt>
              </c:strCache>
            </c:strRef>
          </c:cat>
          <c:val>
            <c:numRef>
              <c:f>Лист2!$AS$3:$AS$33</c:f>
              <c:numCache>
                <c:formatCode>General</c:formatCode>
                <c:ptCount val="31"/>
                <c:pt idx="0">
                  <c:v>56</c:v>
                </c:pt>
                <c:pt idx="1">
                  <c:v>50</c:v>
                </c:pt>
                <c:pt idx="2">
                  <c:v>40</c:v>
                </c:pt>
                <c:pt idx="3">
                  <c:v>39</c:v>
                </c:pt>
                <c:pt idx="4">
                  <c:v>41</c:v>
                </c:pt>
                <c:pt idx="5">
                  <c:v>32</c:v>
                </c:pt>
                <c:pt idx="6">
                  <c:v>22</c:v>
                </c:pt>
                <c:pt idx="7">
                  <c:v>26</c:v>
                </c:pt>
                <c:pt idx="8">
                  <c:v>28</c:v>
                </c:pt>
                <c:pt idx="9">
                  <c:v>33.9</c:v>
                </c:pt>
                <c:pt idx="10">
                  <c:v>35.700000000000003</c:v>
                </c:pt>
                <c:pt idx="11">
                  <c:v>38</c:v>
                </c:pt>
                <c:pt idx="12">
                  <c:v>54</c:v>
                </c:pt>
                <c:pt idx="13">
                  <c:v>36</c:v>
                </c:pt>
                <c:pt idx="14">
                  <c:v>16</c:v>
                </c:pt>
                <c:pt idx="15">
                  <c:v>26.6</c:v>
                </c:pt>
                <c:pt idx="16">
                  <c:v>50</c:v>
                </c:pt>
                <c:pt idx="17">
                  <c:v>29</c:v>
                </c:pt>
                <c:pt idx="18">
                  <c:v>43</c:v>
                </c:pt>
                <c:pt idx="19">
                  <c:v>48.1</c:v>
                </c:pt>
                <c:pt idx="20">
                  <c:v>61</c:v>
                </c:pt>
                <c:pt idx="21">
                  <c:v>23</c:v>
                </c:pt>
                <c:pt idx="22">
                  <c:v>25</c:v>
                </c:pt>
                <c:pt idx="23">
                  <c:v>71</c:v>
                </c:pt>
                <c:pt idx="24">
                  <c:v>11</c:v>
                </c:pt>
                <c:pt idx="25">
                  <c:v>0</c:v>
                </c:pt>
                <c:pt idx="26">
                  <c:v>75</c:v>
                </c:pt>
                <c:pt idx="27">
                  <c:v>29</c:v>
                </c:pt>
                <c:pt idx="28">
                  <c:v>40</c:v>
                </c:pt>
                <c:pt idx="29">
                  <c:v>0</c:v>
                </c:pt>
                <c:pt idx="30">
                  <c:v>39</c:v>
                </c:pt>
              </c:numCache>
            </c:numRef>
          </c:val>
        </c:ser>
        <c:marker val="1"/>
        <c:axId val="69585920"/>
        <c:axId val="69595904"/>
      </c:lineChart>
      <c:catAx>
        <c:axId val="69585920"/>
        <c:scaling>
          <c:orientation val="minMax"/>
        </c:scaling>
        <c:axPos val="b"/>
        <c:tickLblPos val="nextTo"/>
        <c:crossAx val="69595904"/>
        <c:crosses val="autoZero"/>
        <c:auto val="1"/>
        <c:lblAlgn val="ctr"/>
        <c:lblOffset val="100"/>
        <c:tickLblSkip val="1"/>
      </c:catAx>
      <c:valAx>
        <c:axId val="69595904"/>
        <c:scaling>
          <c:orientation val="minMax"/>
        </c:scaling>
        <c:axPos val="l"/>
        <c:majorGridlines/>
        <c:numFmt formatCode="General" sourceLinked="1"/>
        <c:tickLblPos val="nextTo"/>
        <c:crossAx val="69585920"/>
        <c:crosses val="autoZero"/>
        <c:crossBetween val="between"/>
      </c:valAx>
    </c:plotArea>
    <c:legend>
      <c:legendPos val="r"/>
      <c:layout/>
    </c:legend>
    <c:plotVisOnly val="1"/>
  </c:chart>
  <c:externalData r:id="rId1"/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otX val="30"/>
      <c:perspective val="30"/>
    </c:view3D>
    <c:plotArea>
      <c:layout/>
      <c:pie3DChart>
        <c:varyColors val="1"/>
        <c:ser>
          <c:idx val="0"/>
          <c:order val="0"/>
          <c:explosion val="25"/>
          <c:dLbls>
            <c:showVal val="1"/>
            <c:showLeaderLines val="1"/>
          </c:dLbls>
          <c:cat>
            <c:strRef>
              <c:f>Лист2!$V$56:$Y$56</c:f>
              <c:strCache>
                <c:ptCount val="4"/>
                <c:pt idx="0">
                  <c:v>высокий уровень</c:v>
                </c:pt>
                <c:pt idx="1">
                  <c:v>достаточный уровень</c:v>
                </c:pt>
                <c:pt idx="2">
                  <c:v>средний уровень</c:v>
                </c:pt>
                <c:pt idx="3">
                  <c:v>начальный уровень</c:v>
                </c:pt>
              </c:strCache>
            </c:strRef>
          </c:cat>
          <c:val>
            <c:numRef>
              <c:f>Лист2!$V$57:$Y$57</c:f>
              <c:numCache>
                <c:formatCode>0%</c:formatCode>
                <c:ptCount val="4"/>
                <c:pt idx="0">
                  <c:v>0.16</c:v>
                </c:pt>
                <c:pt idx="1">
                  <c:v>0.35000000000000003</c:v>
                </c:pt>
                <c:pt idx="2">
                  <c:v>0.44</c:v>
                </c:pt>
                <c:pt idx="3">
                  <c:v>0.05</c:v>
                </c:pt>
              </c:numCache>
            </c:numRef>
          </c:val>
        </c:ser>
      </c:pie3DChart>
    </c:plotArea>
    <c:legend>
      <c:legendPos val="r"/>
      <c:layout/>
    </c:legend>
    <c:plotVisOnly val="1"/>
  </c:chart>
  <c:externalData r:id="rId1"/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Лист2!$U$43</c:f>
              <c:strCache>
                <c:ptCount val="1"/>
                <c:pt idx="0">
                  <c:v>сен.12</c:v>
                </c:pt>
              </c:strCache>
            </c:strRef>
          </c:tx>
          <c:dLbls>
            <c:showVal val="1"/>
          </c:dLbls>
          <c:cat>
            <c:strRef>
              <c:f>Лист2!$V$42:$Y$42</c:f>
              <c:strCache>
                <c:ptCount val="4"/>
                <c:pt idx="0">
                  <c:v>высокий уровень</c:v>
                </c:pt>
                <c:pt idx="1">
                  <c:v>достаточный уровень</c:v>
                </c:pt>
                <c:pt idx="2">
                  <c:v>средний уровень</c:v>
                </c:pt>
                <c:pt idx="3">
                  <c:v>начальный уровень</c:v>
                </c:pt>
              </c:strCache>
            </c:strRef>
          </c:cat>
          <c:val>
            <c:numRef>
              <c:f>Лист2!$V$43:$Y$43</c:f>
              <c:numCache>
                <c:formatCode>0%</c:formatCode>
                <c:ptCount val="4"/>
                <c:pt idx="0">
                  <c:v>8.0000000000000016E-2</c:v>
                </c:pt>
                <c:pt idx="1">
                  <c:v>0.32000000000000006</c:v>
                </c:pt>
                <c:pt idx="2">
                  <c:v>0.5</c:v>
                </c:pt>
                <c:pt idx="3">
                  <c:v>0.1</c:v>
                </c:pt>
              </c:numCache>
            </c:numRef>
          </c:val>
        </c:ser>
        <c:ser>
          <c:idx val="1"/>
          <c:order val="1"/>
          <c:tx>
            <c:strRef>
              <c:f>Лист2!$U$44</c:f>
              <c:strCache>
                <c:ptCount val="1"/>
                <c:pt idx="0">
                  <c:v>дек.12</c:v>
                </c:pt>
              </c:strCache>
            </c:strRef>
          </c:tx>
          <c:dLbls>
            <c:showVal val="1"/>
          </c:dLbls>
          <c:cat>
            <c:strRef>
              <c:f>Лист2!$V$42:$Y$42</c:f>
              <c:strCache>
                <c:ptCount val="4"/>
                <c:pt idx="0">
                  <c:v>высокий уровень</c:v>
                </c:pt>
                <c:pt idx="1">
                  <c:v>достаточный уровень</c:v>
                </c:pt>
                <c:pt idx="2">
                  <c:v>средний уровень</c:v>
                </c:pt>
                <c:pt idx="3">
                  <c:v>начальный уровень</c:v>
                </c:pt>
              </c:strCache>
            </c:strRef>
          </c:cat>
          <c:val>
            <c:numRef>
              <c:f>Лист2!$V$44:$Y$44</c:f>
              <c:numCache>
                <c:formatCode>0%</c:formatCode>
                <c:ptCount val="4"/>
                <c:pt idx="0">
                  <c:v>0.16</c:v>
                </c:pt>
                <c:pt idx="1">
                  <c:v>0.35000000000000003</c:v>
                </c:pt>
                <c:pt idx="2">
                  <c:v>0.44</c:v>
                </c:pt>
                <c:pt idx="3">
                  <c:v>0.05</c:v>
                </c:pt>
              </c:numCache>
            </c:numRef>
          </c:val>
        </c:ser>
        <c:shape val="box"/>
        <c:axId val="83926016"/>
        <c:axId val="83931904"/>
        <c:axId val="0"/>
      </c:bar3DChart>
      <c:catAx>
        <c:axId val="83926016"/>
        <c:scaling>
          <c:orientation val="minMax"/>
        </c:scaling>
        <c:axPos val="b"/>
        <c:tickLblPos val="nextTo"/>
        <c:crossAx val="83931904"/>
        <c:crosses val="autoZero"/>
        <c:auto val="1"/>
        <c:lblAlgn val="ctr"/>
        <c:lblOffset val="100"/>
      </c:catAx>
      <c:valAx>
        <c:axId val="83931904"/>
        <c:scaling>
          <c:orientation val="minMax"/>
        </c:scaling>
        <c:axPos val="l"/>
        <c:majorGridlines/>
        <c:numFmt formatCode="0%" sourceLinked="1"/>
        <c:tickLblPos val="nextTo"/>
        <c:crossAx val="83926016"/>
        <c:crosses val="autoZero"/>
        <c:crossBetween val="between"/>
      </c:valAx>
    </c:plotArea>
    <c:legend>
      <c:legendPos val="r"/>
      <c:layout/>
    </c:legend>
    <c:plotVisOnly val="1"/>
  </c:chart>
  <c:externalData r:id="rId1"/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plotArea>
      <c:layout/>
      <c:lineChart>
        <c:grouping val="standard"/>
        <c:ser>
          <c:idx val="0"/>
          <c:order val="0"/>
          <c:tx>
            <c:strRef>
              <c:f>Лист2!$BW$3</c:f>
              <c:strCache>
                <c:ptCount val="1"/>
                <c:pt idx="0">
                  <c:v>сен.12</c:v>
                </c:pt>
              </c:strCache>
            </c:strRef>
          </c:tx>
          <c:marker>
            <c:symbol val="none"/>
          </c:marker>
          <c:cat>
            <c:strRef>
              <c:f>Лист2!$BV$4:$BV$30</c:f>
              <c:strCache>
                <c:ptCount val="27"/>
                <c:pt idx="0">
                  <c:v>лицей № 1</c:v>
                </c:pt>
                <c:pt idx="1">
                  <c:v>гимназия № 1</c:v>
                </c:pt>
                <c:pt idx="2">
                  <c:v>гимназия № 2</c:v>
                </c:pt>
                <c:pt idx="3">
                  <c:v>Черв.гимназия</c:v>
                </c:pt>
                <c:pt idx="4">
                  <c:v>ООШ № 2</c:v>
                </c:pt>
                <c:pt idx="5">
                  <c:v>ООШ № 3</c:v>
                </c:pt>
                <c:pt idx="6">
                  <c:v>ООШ № 5</c:v>
                </c:pt>
                <c:pt idx="7">
                  <c:v>ООШ № 6</c:v>
                </c:pt>
                <c:pt idx="8">
                  <c:v>ООШ № 7</c:v>
                </c:pt>
                <c:pt idx="9">
                  <c:v>ООШ № 8</c:v>
                </c:pt>
                <c:pt idx="10">
                  <c:v>ООШ № 9</c:v>
                </c:pt>
                <c:pt idx="11">
                  <c:v>ООШ № 11</c:v>
                </c:pt>
                <c:pt idx="12">
                  <c:v>ЧООШ № 1</c:v>
                </c:pt>
                <c:pt idx="13">
                  <c:v>ЧООШ № 2</c:v>
                </c:pt>
                <c:pt idx="14">
                  <c:v>ЧООШ № 3</c:v>
                </c:pt>
                <c:pt idx="15">
                  <c:v>Ленинская ООШ № 1</c:v>
                </c:pt>
                <c:pt idx="16">
                  <c:v>Шахтерская ООШ № 1</c:v>
                </c:pt>
                <c:pt idx="17">
                  <c:v>Бирюковская ООШ</c:v>
                </c:pt>
                <c:pt idx="18">
                  <c:v>ВолодарскаяООШ</c:v>
                </c:pt>
                <c:pt idx="19">
                  <c:v>Калининская ООШ</c:v>
                </c:pt>
                <c:pt idx="20">
                  <c:v>Комсомольская ООШ</c:v>
                </c:pt>
                <c:pt idx="21">
                  <c:v>Должанская ООШ</c:v>
                </c:pt>
                <c:pt idx="22">
                  <c:v>Медвежанская ООШ</c:v>
                </c:pt>
                <c:pt idx="23">
                  <c:v>Н -Боровицкая ООШ</c:v>
                </c:pt>
                <c:pt idx="24">
                  <c:v>Провальская ООШ</c:v>
                </c:pt>
                <c:pt idx="25">
                  <c:v>СООШИ</c:v>
                </c:pt>
                <c:pt idx="26">
                  <c:v>по городу</c:v>
                </c:pt>
              </c:strCache>
            </c:strRef>
          </c:cat>
          <c:val>
            <c:numRef>
              <c:f>Лист2!$BW$4:$BW$30</c:f>
              <c:numCache>
                <c:formatCode>General</c:formatCode>
                <c:ptCount val="27"/>
                <c:pt idx="0">
                  <c:v>78</c:v>
                </c:pt>
                <c:pt idx="1">
                  <c:v>43</c:v>
                </c:pt>
                <c:pt idx="2">
                  <c:v>50</c:v>
                </c:pt>
                <c:pt idx="3">
                  <c:v>17</c:v>
                </c:pt>
                <c:pt idx="4">
                  <c:v>46</c:v>
                </c:pt>
                <c:pt idx="5">
                  <c:v>33</c:v>
                </c:pt>
                <c:pt idx="6">
                  <c:v>48</c:v>
                </c:pt>
                <c:pt idx="7">
                  <c:v>12.5</c:v>
                </c:pt>
                <c:pt idx="8">
                  <c:v>40</c:v>
                </c:pt>
                <c:pt idx="9">
                  <c:v>18.2</c:v>
                </c:pt>
                <c:pt idx="10">
                  <c:v>61</c:v>
                </c:pt>
                <c:pt idx="11">
                  <c:v>22.9</c:v>
                </c:pt>
                <c:pt idx="12">
                  <c:v>23</c:v>
                </c:pt>
                <c:pt idx="13">
                  <c:v>43</c:v>
                </c:pt>
                <c:pt idx="14">
                  <c:v>31.4</c:v>
                </c:pt>
                <c:pt idx="15">
                  <c:v>33</c:v>
                </c:pt>
                <c:pt idx="16">
                  <c:v>66</c:v>
                </c:pt>
                <c:pt idx="17">
                  <c:v>41</c:v>
                </c:pt>
                <c:pt idx="18">
                  <c:v>42</c:v>
                </c:pt>
                <c:pt idx="19">
                  <c:v>54</c:v>
                </c:pt>
                <c:pt idx="20">
                  <c:v>22</c:v>
                </c:pt>
                <c:pt idx="21">
                  <c:v>0</c:v>
                </c:pt>
                <c:pt idx="22">
                  <c:v>43</c:v>
                </c:pt>
                <c:pt idx="23">
                  <c:v>60</c:v>
                </c:pt>
                <c:pt idx="24">
                  <c:v>33</c:v>
                </c:pt>
                <c:pt idx="25">
                  <c:v>0</c:v>
                </c:pt>
                <c:pt idx="26">
                  <c:v>40</c:v>
                </c:pt>
              </c:numCache>
            </c:numRef>
          </c:val>
        </c:ser>
        <c:ser>
          <c:idx val="1"/>
          <c:order val="1"/>
          <c:tx>
            <c:strRef>
              <c:f>Лист2!$BX$3</c:f>
              <c:strCache>
                <c:ptCount val="1"/>
                <c:pt idx="0">
                  <c:v>дек.12</c:v>
                </c:pt>
              </c:strCache>
            </c:strRef>
          </c:tx>
          <c:marker>
            <c:symbol val="none"/>
          </c:marker>
          <c:cat>
            <c:strRef>
              <c:f>Лист2!$BV$4:$BV$30</c:f>
              <c:strCache>
                <c:ptCount val="27"/>
                <c:pt idx="0">
                  <c:v>лицей № 1</c:v>
                </c:pt>
                <c:pt idx="1">
                  <c:v>гимназия № 1</c:v>
                </c:pt>
                <c:pt idx="2">
                  <c:v>гимназия № 2</c:v>
                </c:pt>
                <c:pt idx="3">
                  <c:v>Черв.гимназия</c:v>
                </c:pt>
                <c:pt idx="4">
                  <c:v>ООШ № 2</c:v>
                </c:pt>
                <c:pt idx="5">
                  <c:v>ООШ № 3</c:v>
                </c:pt>
                <c:pt idx="6">
                  <c:v>ООШ № 5</c:v>
                </c:pt>
                <c:pt idx="7">
                  <c:v>ООШ № 6</c:v>
                </c:pt>
                <c:pt idx="8">
                  <c:v>ООШ № 7</c:v>
                </c:pt>
                <c:pt idx="9">
                  <c:v>ООШ № 8</c:v>
                </c:pt>
                <c:pt idx="10">
                  <c:v>ООШ № 9</c:v>
                </c:pt>
                <c:pt idx="11">
                  <c:v>ООШ № 11</c:v>
                </c:pt>
                <c:pt idx="12">
                  <c:v>ЧООШ № 1</c:v>
                </c:pt>
                <c:pt idx="13">
                  <c:v>ЧООШ № 2</c:v>
                </c:pt>
                <c:pt idx="14">
                  <c:v>ЧООШ № 3</c:v>
                </c:pt>
                <c:pt idx="15">
                  <c:v>Ленинская ООШ № 1</c:v>
                </c:pt>
                <c:pt idx="16">
                  <c:v>Шахтерская ООШ № 1</c:v>
                </c:pt>
                <c:pt idx="17">
                  <c:v>Бирюковская ООШ</c:v>
                </c:pt>
                <c:pt idx="18">
                  <c:v>ВолодарскаяООШ</c:v>
                </c:pt>
                <c:pt idx="19">
                  <c:v>Калининская ООШ</c:v>
                </c:pt>
                <c:pt idx="20">
                  <c:v>Комсомольская ООШ</c:v>
                </c:pt>
                <c:pt idx="21">
                  <c:v>Должанская ООШ</c:v>
                </c:pt>
                <c:pt idx="22">
                  <c:v>Медвежанская ООШ</c:v>
                </c:pt>
                <c:pt idx="23">
                  <c:v>Н -Боровицкая ООШ</c:v>
                </c:pt>
                <c:pt idx="24">
                  <c:v>Провальская ООШ</c:v>
                </c:pt>
                <c:pt idx="25">
                  <c:v>СООШИ</c:v>
                </c:pt>
                <c:pt idx="26">
                  <c:v>по городу</c:v>
                </c:pt>
              </c:strCache>
            </c:strRef>
          </c:cat>
          <c:val>
            <c:numRef>
              <c:f>Лист2!$BX$4:$BX$30</c:f>
              <c:numCache>
                <c:formatCode>General</c:formatCode>
                <c:ptCount val="27"/>
                <c:pt idx="0">
                  <c:v>77</c:v>
                </c:pt>
                <c:pt idx="1">
                  <c:v>54</c:v>
                </c:pt>
                <c:pt idx="2">
                  <c:v>60</c:v>
                </c:pt>
                <c:pt idx="3">
                  <c:v>31</c:v>
                </c:pt>
                <c:pt idx="4">
                  <c:v>62</c:v>
                </c:pt>
                <c:pt idx="5">
                  <c:v>40</c:v>
                </c:pt>
                <c:pt idx="6">
                  <c:v>50</c:v>
                </c:pt>
                <c:pt idx="7">
                  <c:v>40</c:v>
                </c:pt>
                <c:pt idx="8">
                  <c:v>64</c:v>
                </c:pt>
                <c:pt idx="9">
                  <c:v>56.3</c:v>
                </c:pt>
                <c:pt idx="10">
                  <c:v>56</c:v>
                </c:pt>
                <c:pt idx="11">
                  <c:v>59.4</c:v>
                </c:pt>
                <c:pt idx="12">
                  <c:v>35</c:v>
                </c:pt>
                <c:pt idx="13">
                  <c:v>40</c:v>
                </c:pt>
                <c:pt idx="14">
                  <c:v>42.9</c:v>
                </c:pt>
                <c:pt idx="15">
                  <c:v>44</c:v>
                </c:pt>
                <c:pt idx="16">
                  <c:v>41</c:v>
                </c:pt>
                <c:pt idx="17">
                  <c:v>53</c:v>
                </c:pt>
                <c:pt idx="18">
                  <c:v>47</c:v>
                </c:pt>
                <c:pt idx="19">
                  <c:v>67</c:v>
                </c:pt>
                <c:pt idx="20">
                  <c:v>28</c:v>
                </c:pt>
                <c:pt idx="21">
                  <c:v>40</c:v>
                </c:pt>
                <c:pt idx="22">
                  <c:v>43</c:v>
                </c:pt>
                <c:pt idx="23">
                  <c:v>60</c:v>
                </c:pt>
                <c:pt idx="24">
                  <c:v>33</c:v>
                </c:pt>
                <c:pt idx="25">
                  <c:v>17</c:v>
                </c:pt>
                <c:pt idx="26">
                  <c:v>51</c:v>
                </c:pt>
              </c:numCache>
            </c:numRef>
          </c:val>
        </c:ser>
        <c:marker val="1"/>
        <c:axId val="153927680"/>
        <c:axId val="153931136"/>
      </c:lineChart>
      <c:catAx>
        <c:axId val="153927680"/>
        <c:scaling>
          <c:orientation val="minMax"/>
        </c:scaling>
        <c:axPos val="b"/>
        <c:tickLblPos val="nextTo"/>
        <c:crossAx val="153931136"/>
        <c:crosses val="autoZero"/>
        <c:auto val="1"/>
        <c:lblAlgn val="ctr"/>
        <c:lblOffset val="100"/>
        <c:tickLblSkip val="1"/>
      </c:catAx>
      <c:valAx>
        <c:axId val="153931136"/>
        <c:scaling>
          <c:orientation val="minMax"/>
        </c:scaling>
        <c:axPos val="l"/>
        <c:majorGridlines/>
        <c:numFmt formatCode="General" sourceLinked="1"/>
        <c:tickLblPos val="nextTo"/>
        <c:crossAx val="153927680"/>
        <c:crosses val="autoZero"/>
        <c:crossBetween val="between"/>
      </c:valAx>
    </c:plotArea>
    <c:legend>
      <c:legendPos val="r"/>
      <c:layout/>
    </c:legend>
    <c:plotVisOnly val="1"/>
  </c:chart>
  <c:externalData r:id="rId1"/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dLbls>
            <c:showVal val="1"/>
          </c:dLbls>
          <c:cat>
            <c:strRef>
              <c:f>Лист2!$AY$40:$AZ$40</c:f>
              <c:strCache>
                <c:ptCount val="2"/>
                <c:pt idx="0">
                  <c:v>ср.балл в сентябре 2012</c:v>
                </c:pt>
                <c:pt idx="1">
                  <c:v>ср балл в декабре 2012</c:v>
                </c:pt>
              </c:strCache>
            </c:strRef>
          </c:cat>
          <c:val>
            <c:numRef>
              <c:f>Лист2!$AY$41:$AZ$41</c:f>
              <c:numCache>
                <c:formatCode>General</c:formatCode>
                <c:ptCount val="2"/>
                <c:pt idx="0">
                  <c:v>6</c:v>
                </c:pt>
                <c:pt idx="1">
                  <c:v>6.4</c:v>
                </c:pt>
              </c:numCache>
            </c:numRef>
          </c:val>
        </c:ser>
        <c:shape val="cone"/>
        <c:axId val="100152064"/>
        <c:axId val="100153600"/>
        <c:axId val="0"/>
      </c:bar3DChart>
      <c:catAx>
        <c:axId val="100152064"/>
        <c:scaling>
          <c:orientation val="minMax"/>
        </c:scaling>
        <c:axPos val="b"/>
        <c:tickLblPos val="nextTo"/>
        <c:crossAx val="100153600"/>
        <c:crosses val="autoZero"/>
        <c:auto val="1"/>
        <c:lblAlgn val="ctr"/>
        <c:lblOffset val="100"/>
      </c:catAx>
      <c:valAx>
        <c:axId val="100153600"/>
        <c:scaling>
          <c:orientation val="minMax"/>
        </c:scaling>
        <c:axPos val="l"/>
        <c:majorGridlines/>
        <c:numFmt formatCode="General" sourceLinked="1"/>
        <c:tickLblPos val="nextTo"/>
        <c:crossAx val="100152064"/>
        <c:crosses val="autoZero"/>
        <c:crossBetween val="between"/>
      </c:valAx>
    </c:plotArea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46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Сережка</dc:creator>
  <cp:lastModifiedBy>Сережка</cp:lastModifiedBy>
  <cp:revision>4</cp:revision>
  <dcterms:created xsi:type="dcterms:W3CDTF">2013-01-09T16:52:00Z</dcterms:created>
  <dcterms:modified xsi:type="dcterms:W3CDTF">2013-01-13T19:08:00Z</dcterms:modified>
</cp:coreProperties>
</file>